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Технологии инклюзивного образования в дошкольной организации» (</w:t>
      </w:r>
      <w:r>
        <w:rPr>
          <w:b w:val="1"/>
          <w:sz w:val="24"/>
          <w:szCs w:val="32"/>
          <w:rtl w:val="0"/>
          <w:lang w:val="en-US" w:bidi="en-US" w:eastAsia="en-US"/>
        </w:rPr>
        <w:t>108 часов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